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FFA" w:rsidRPr="001F5C3C" w:rsidRDefault="00B31128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Есептілікті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жасау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бойынша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түсінік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берілген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салықтық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есептіліктің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нысандарын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оларды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ұсыну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қағидаларын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бекіту</w:t>
      </w:r>
      <w:proofErr w:type="spellEnd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1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туралы</w:t>
      </w:r>
      <w:proofErr w:type="spellEnd"/>
    </w:p>
    <w:p w:rsidR="001A7FFA" w:rsidRPr="001F5C3C" w:rsidRDefault="001A7FFA" w:rsidP="001A7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45AA3" w:rsidRPr="00045AA3" w:rsidRDefault="00045AA3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Қазақстан Республикасы Салық кодексінің </w:t>
      </w:r>
      <w:r w:rsidR="007540C9">
        <w:fldChar w:fldCharType="begin"/>
      </w:r>
      <w:r w:rsidR="007540C9" w:rsidRPr="007540C9">
        <w:rPr>
          <w:lang w:val="kk-KZ"/>
        </w:rPr>
        <w:instrText xml:space="preserve"> HYPERLINK "http://10.61.43.123/kaz/docs/K1700000120" \l "z206" </w:instrText>
      </w:r>
      <w:r w:rsidR="007540C9">
        <w:fldChar w:fldCharType="separate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113-бабының</w:t>
      </w:r>
      <w:r w:rsidR="007540C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fldChar w:fldCharType="end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2-тармағына, </w:t>
      </w:r>
      <w:r w:rsidR="007540C9">
        <w:fldChar w:fldCharType="begin"/>
      </w:r>
      <w:r w:rsidR="007540C9" w:rsidRPr="007540C9">
        <w:rPr>
          <w:lang w:val="kk-KZ"/>
        </w:rPr>
        <w:instrText xml:space="preserve"> HYPERLINK "http://10.61.43.123/kaz/docs/K1700000120" \l "z206" </w:instrText>
      </w:r>
      <w:r w:rsidR="007540C9">
        <w:fldChar w:fldCharType="separate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115-бабының</w:t>
      </w:r>
      <w:r w:rsidR="007540C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fldChar w:fldCharType="end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3-тармағының үшінші бөлігіне және «Мемлекеттік көрсетілетін қызметтер туралы» Қазақстан Республикасы Заңының </w:t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fldChar w:fldCharType="begin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instrText xml:space="preserve"> HYPERLINK "http://www.adilet.zan.kz/kaz/docs/Z1300000088" \l "z12" </w:instrText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fldChar w:fldCharType="separate"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10-бабының</w:t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br/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1)-тармақшасына сәйкес </w:t>
      </w:r>
      <w:r w:rsidRPr="00045A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БҰЙЫРАМЫН:</w:t>
      </w:r>
    </w:p>
    <w:p w:rsidR="00834943" w:rsidRPr="00834943" w:rsidRDefault="001A7FFA" w:rsidP="00045AA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834943">
        <w:rPr>
          <w:sz w:val="28"/>
          <w:szCs w:val="28"/>
          <w:lang w:val="kk-KZ"/>
        </w:rPr>
        <w:t xml:space="preserve">1) </w:t>
      </w:r>
      <w:r w:rsidR="00834943" w:rsidRPr="00834943">
        <w:rPr>
          <w:sz w:val="28"/>
          <w:szCs w:val="28"/>
          <w:lang w:val="kk-KZ"/>
        </w:rPr>
        <w:t xml:space="preserve">осы бұйрыққа </w:t>
      </w:r>
      <w:r w:rsidR="00834943" w:rsidRPr="00834943">
        <w:rPr>
          <w:sz w:val="28"/>
          <w:szCs w:val="28"/>
        </w:rPr>
        <w:fldChar w:fldCharType="begin"/>
      </w:r>
      <w:r w:rsidR="00834943" w:rsidRPr="00834943">
        <w:rPr>
          <w:sz w:val="28"/>
          <w:szCs w:val="28"/>
          <w:lang w:val="kk-KZ"/>
        </w:rPr>
        <w:instrText xml:space="preserve"> HYPERLINK "http://www.adilet.zan.kz/kaz/docs/V2500036331" \l "z12" </w:instrText>
      </w:r>
      <w:r w:rsidR="00834943" w:rsidRPr="00834943">
        <w:rPr>
          <w:sz w:val="28"/>
          <w:szCs w:val="28"/>
        </w:rPr>
        <w:fldChar w:fldCharType="separate"/>
      </w:r>
      <w:r w:rsidR="00834943">
        <w:rPr>
          <w:sz w:val="28"/>
          <w:szCs w:val="28"/>
          <w:lang w:val="kk-KZ"/>
        </w:rPr>
        <w:t>1-қосымшаға</w:t>
      </w:r>
      <w:r w:rsidR="00834943" w:rsidRPr="00834943">
        <w:rPr>
          <w:sz w:val="28"/>
          <w:szCs w:val="28"/>
        </w:rPr>
        <w:fldChar w:fldCharType="end"/>
      </w:r>
      <w:r w:rsidR="00834943" w:rsidRPr="00834943">
        <w:rPr>
          <w:sz w:val="28"/>
          <w:szCs w:val="28"/>
          <w:lang w:val="kk-KZ"/>
        </w:rPr>
        <w:t xml:space="preserve"> сәйкес салық есептілігін табыс етуді тоқтата тұру, қайта бастау туралы салықтық өтініштің н</w:t>
      </w:r>
      <w:bookmarkStart w:id="0" w:name="_GoBack"/>
      <w:bookmarkEnd w:id="0"/>
      <w:r w:rsidR="00834943" w:rsidRPr="00834943">
        <w:rPr>
          <w:sz w:val="28"/>
          <w:szCs w:val="28"/>
          <w:lang w:val="kk-KZ"/>
        </w:rPr>
        <w:t>ысаны;</w:t>
      </w:r>
    </w:p>
    <w:p w:rsidR="0037156F" w:rsidRPr="00834943" w:rsidRDefault="00834943" w:rsidP="00045AA3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begin"/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instrText xml:space="preserve"> HYPERLINK "http://www.adilet.zan.kz/kaz/docs/V2000019897" \l "z6" </w:instrText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separate"/>
      </w:r>
      <w:r w:rsid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2-қосымшаға</w:t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="00BF225A" w:rsidRPr="0083494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корпоративтік табыс салығы бойынша декларацияның нысаны (100.00-нысан)</w:t>
      </w:r>
      <w:r w:rsid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 жасау бойынша түсіндірмесі</w:t>
      </w:r>
      <w:r w:rsid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3-қосымшаға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 декларация тапсырылғаннан кейінгі кезең үшін төленуі тиіс корпоративтік табыс салығы бойынша аванстық төлемдер сомасы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есебінің нысаны (101.02-нысан)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резиденттің табысынан төлем көзінен ұсталған корпоративтік табыс салығы бой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ынша есеп нысаны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(101.03-нысан)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5-қосымшаға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 бейрезиденттің табысынан төлем көзінен ұсталатын корпоративтік табыс салығы бойы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нша есеп нысаны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(101.04-нысан)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6)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6-қосымшаға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 корпоративтік табыс салығы бойынша деклара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цияның нысаны (110.00-нысан)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7)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корпоративтік табыс салығы бойынша декл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(150.00-нысан)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8)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жеке табыс салығы және әлеуметтік салық бойынша декларацияның нысаны (200.00-нысан)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9)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жеке табыс салығы бойынша декларацияның нысаны (220.00-ныс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ан) оны жасау бойынша түсіндірмесі;</w:t>
      </w:r>
    </w:p>
    <w:p w:rsidR="007540C9" w:rsidRDefault="007540C9" w:rsidP="00754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10)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</w:t>
      </w:r>
      <w:r w:rsidRP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еке тұлғаның активтері мен міндеттемелері туралы декларация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 нысаны</w:t>
      </w:r>
      <w:r w:rsidRP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(250.00-нысан)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7540C9" w:rsidRDefault="007540C9" w:rsidP="00754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11) </w:t>
      </w:r>
      <w:r w:rsidR="0028368E"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11-қосымшаға</w:t>
      </w:r>
      <w:r w:rsidR="0028368E"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</w:t>
      </w:r>
      <w:r w:rsidRP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еке тұлғаның кірістері мен мүлкі туралы декларацияны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нысаны</w:t>
      </w:r>
      <w:r w:rsidRP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(270.00-нысан)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қосылған құн салығы бойынша декларацияның нысаны (300.00-нысан)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акциз бойынша декларацияның нысаны (400.00-нысан)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сәйкес, роялти бойынша, өндіру бонусы бойынша, өнімді бөлу бойынша Қазақстан Республикасының үлесі бойынша, өнімді бөлу туралы келісім (келісімшарт) бойынша қызметті жүзеге асыратын жер қойнауын пайдаланушының қосымша төлемі бойынша декларацияның нысаны (500.00-нысан)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BF225A" w:rsidRDefault="00BF225A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қол қойылатын бонус және коммерциялық табу бонусы бойынша декларацияның нысаны (510.00-нысан)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BF225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заттай нысандағы салықтық міндеттемені орындау туралы декларацияның (есебінің) нысаны (531.00-нысан)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осы бұйрыққа 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 сәйкес п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айдалы қазбаларды өндіру салығы, экспортқа рента салығы, тарихи шығындарды өтеу жөніндегі төлем және кең таралған пайдалы қазбаларды қоспағанда, қатты пайдалы қазбаларға арналған роялти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салықтық есептілігін жасау және ұсыну тәртібі бойынша түсініктеме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декларацияның нысаны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(590.00-нысан)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осы бұйрыққа 1</w:t>
      </w:r>
      <w:r w:rsidR="0028368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-қосымшаға сәйкес ж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ер қойнауын пайдалануға арналған балама салық бойынша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д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екларация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ның нысаны</w:t>
      </w:r>
      <w:r w:rsidRPr="0024598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(600.00-нысан)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осы бұйрыққа 1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 сәйкес ж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ұмыспен қамтуға көмектесу, міндетті медициналық сақтандыру, мемлекеттік әлеуметтік сақтандыру қорларына, зейнетақы төлеу жөніндегі мемлекеттік орталыққа аударымдардың және автомобиль жолдарын пайдаланушылардың аударымдары есебі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 нысаны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(641.00-нысан)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7540C9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="00245986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-қосымшаға сәйкес </w:t>
      </w:r>
      <w:r w:rsidR="00245986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көлік құралы салығы, жер салығы мен мүлік салығы бойынша декл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(700.00-нысан) оны жасау бойынша түсіндірмесі</w:t>
      </w:r>
      <w:r w:rsidR="00245986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7540C9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осы бұйрыққа 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1-қосымшаға сәйкес м</w:t>
      </w:r>
      <w:r w:rsidR="00245986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үлік салығы бойынша ағымдағы төлем есебі</w:t>
      </w:r>
      <w:r w:rsid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 нысаны (701.01-нысан) оны жасау бойынша түсіндірмесі</w:t>
      </w:r>
      <w:r w:rsidR="00245986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45986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-қосымшаға 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 ойын бизнесі салығы және тіркелген салық бойынша декл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(710.00-нысан)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245986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-қосымшаға 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сәйкес жер учаскелерін пайдаланғаны үшін төлемақының ағымдағы төлемдер сомасы 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есебінің нысаны (851.00-нысан) оны жасау бойынша түсіндірмесі</w:t>
      </w:r>
      <w:r w:rsidR="00045AA3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7540C9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="00045AA3"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="00045AA3"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жер үсті көздерінің су ресурстарын пайдаланғаны үшін төлемақы бойынша декл</w:t>
      </w:r>
      <w:r w:rsid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(860.00-нысан) оны жасау бойынша түсіндірмесі</w:t>
      </w:r>
      <w:r w:rsidR="00045AA3"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045AA3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қоршаған ортаға эмиссия үшін төлемақы бойынша декл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(870.00-нысан)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045AA3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цифрлық майнинг үшін төлемақы бойынша декл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(880.00-нысан)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045AA3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шағын бизнес субъектілері үшін оңайлатылған декл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арацияның нысаны (910.00-нысан)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045AA3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бірыңғай жер салығын төлеушілерге арналған декларацияның ныс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 (920.00-нысан) оны жасау бойынша түсіндірмесі</w:t>
      </w:r>
      <w:r w:rsidRPr="002459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Default="00045AA3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7540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осы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бұйрыққа </w:t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29-қосымшаға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алық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тық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есептілігі нысандарын табыс ету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begin"/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instrText xml:space="preserve"> HYPERLINK "http://www.adilet.zan.kz/kaz/docs/V2500036606" \l "z22" </w:instrTex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separate"/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қағидалары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="00283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8368E" w:rsidRPr="00045AA3" w:rsidRDefault="0028368E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30) </w:t>
      </w:r>
      <w:r w:rsidRPr="00045AA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осы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бұйрыққа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30-қосымшаға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</w:t>
      </w:r>
      <w:r w:rsidRPr="0028368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«Салықтық есептілікті қабылдау», «Тауарларды әкелу және жанама салықтарды төлеу туралы өтінішті қабылдау», «Салықтық есептілікті ұсынуын тоқтата тұру, қайта бастау» мемлекеттік қызметтерді көрсету ережелері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бекітілсін.</w:t>
      </w:r>
    </w:p>
    <w:p w:rsidR="00045AA3" w:rsidRPr="00045AA3" w:rsidRDefault="00045AA3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Қазақстан Республикасы Қаржы министрлігінің Мемлекеттік кірістер комитеті Қазақстан Республикасының заңнамада белгіленген тәртіппен:</w:t>
      </w:r>
    </w:p>
    <w:p w:rsidR="00045AA3" w:rsidRPr="00045AA3" w:rsidRDefault="00045AA3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осы бұйрықтың Қазақстан Республикасы Әділет министрлігінде мемлекеттік </w:t>
      </w:r>
      <w:r w:rsidRPr="00045AA3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045AA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instrText xml:space="preserve"> HYPERLINK "jl:39260071.0.1006120860_0" \o "АНЫҚТАМА ҚР ҚАРЖЫ МИНИСТРІНІҢ 2018.25.01 № 64 БҰЙРЫҒЫ" </w:instrText>
      </w:r>
      <w:r w:rsidRPr="00045AA3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тіркеуді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fldChar w:fldCharType="end"/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45AA3" w:rsidRPr="00045AA3" w:rsidRDefault="00045AA3" w:rsidP="00045AA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осы бұйрық жарияланғаннан кейін оны</w:t>
      </w:r>
      <w:r w:rsidRPr="00045AA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министрлігінің интернет-ресурсында орналастыруды қамтамасыз етсін;</w:t>
      </w:r>
    </w:p>
    <w:p w:rsidR="00045AA3" w:rsidRPr="00045AA3" w:rsidRDefault="00045AA3" w:rsidP="00045AA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045AA3" w:rsidRPr="00045AA3" w:rsidRDefault="00045AA3" w:rsidP="00045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1" w:name="z84"/>
      <w:r w:rsidRPr="00045AA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Осы бұйрық 2026 жылғы 1 қаңтардан бастап қолданысқа енгізіледі және ресми жариялануға тиіс.</w:t>
      </w:r>
      <w:bookmarkEnd w:id="1"/>
    </w:p>
    <w:p w:rsidR="00045AA3" w:rsidRDefault="00045AA3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15EC9" w:rsidRDefault="00F15EC9" w:rsidP="00045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45AA3" w:rsidRPr="00045AA3" w:rsidTr="00215BC4">
        <w:tc>
          <w:tcPr>
            <w:tcW w:w="3652" w:type="dxa"/>
            <w:hideMark/>
          </w:tcPr>
          <w:p w:rsidR="00045AA3" w:rsidRPr="00045AA3" w:rsidRDefault="00045AA3" w:rsidP="00045AA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045AA3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045AA3" w:rsidRPr="00045AA3" w:rsidRDefault="00045AA3" w:rsidP="00045AA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45AA3" w:rsidRPr="00045AA3" w:rsidRDefault="00045AA3" w:rsidP="00045AA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045AA3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F15EC9" w:rsidRDefault="00F15EC9" w:rsidP="00045AA3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5EC9" w:rsidRDefault="00F15EC9" w:rsidP="00045AA3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5EC9" w:rsidRDefault="00F15EC9" w:rsidP="00045AA3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5EC9" w:rsidRDefault="00F15EC9" w:rsidP="00045AA3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5AA3" w:rsidRPr="005C0A0D" w:rsidRDefault="00045AA3" w:rsidP="00045AA3">
      <w:pPr>
        <w:spacing w:after="0" w:line="240" w:lineRule="auto"/>
        <w:ind w:right="5809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C0A0D">
        <w:rPr>
          <w:rFonts w:ascii="Times New Roman" w:hAnsi="Times New Roman" w:cs="Times New Roman"/>
          <w:sz w:val="28"/>
          <w:szCs w:val="28"/>
          <w:lang w:val="kk-KZ"/>
        </w:rPr>
        <w:t>«КЕЛІСІЛДІ»</w:t>
      </w:r>
    </w:p>
    <w:p w:rsidR="00BF225A" w:rsidRPr="00BF225A" w:rsidRDefault="00F15B43" w:rsidP="007540C9">
      <w:pPr>
        <w:spacing w:after="0" w:line="240" w:lineRule="auto"/>
        <w:ind w:right="58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Жасанды интеллект және цифрлық даму министрлігі</w:t>
      </w:r>
    </w:p>
    <w:sectPr w:rsidR="00BF225A" w:rsidRPr="00BF225A" w:rsidSect="008433AF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43F" w:rsidRDefault="0001543F" w:rsidP="008433AF">
      <w:pPr>
        <w:spacing w:after="0" w:line="240" w:lineRule="auto"/>
      </w:pPr>
      <w:r>
        <w:separator/>
      </w:r>
    </w:p>
  </w:endnote>
  <w:endnote w:type="continuationSeparator" w:id="0">
    <w:p w:rsidR="0001543F" w:rsidRDefault="0001543F" w:rsidP="0084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43F" w:rsidRDefault="0001543F" w:rsidP="008433AF">
      <w:pPr>
        <w:spacing w:after="0" w:line="240" w:lineRule="auto"/>
      </w:pPr>
      <w:r>
        <w:separator/>
      </w:r>
    </w:p>
  </w:footnote>
  <w:footnote w:type="continuationSeparator" w:id="0">
    <w:p w:rsidR="0001543F" w:rsidRDefault="0001543F" w:rsidP="00843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0889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33AF" w:rsidRPr="008433AF" w:rsidRDefault="008433A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33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33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33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7FF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433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433AF" w:rsidRDefault="008433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FA"/>
    <w:rsid w:val="0001543F"/>
    <w:rsid w:val="000263BB"/>
    <w:rsid w:val="00045AA3"/>
    <w:rsid w:val="00090128"/>
    <w:rsid w:val="000A4908"/>
    <w:rsid w:val="000C4899"/>
    <w:rsid w:val="00130B63"/>
    <w:rsid w:val="0015409A"/>
    <w:rsid w:val="00157FFD"/>
    <w:rsid w:val="00182D3C"/>
    <w:rsid w:val="001A7FFA"/>
    <w:rsid w:val="001F5C3C"/>
    <w:rsid w:val="00245986"/>
    <w:rsid w:val="0028368E"/>
    <w:rsid w:val="002B0458"/>
    <w:rsid w:val="0037156F"/>
    <w:rsid w:val="003A30DF"/>
    <w:rsid w:val="004153C6"/>
    <w:rsid w:val="004F3E03"/>
    <w:rsid w:val="00540FB2"/>
    <w:rsid w:val="00584849"/>
    <w:rsid w:val="00591C3D"/>
    <w:rsid w:val="005C0A0D"/>
    <w:rsid w:val="0066766D"/>
    <w:rsid w:val="0068420F"/>
    <w:rsid w:val="006F3824"/>
    <w:rsid w:val="007540C9"/>
    <w:rsid w:val="00834943"/>
    <w:rsid w:val="008433AF"/>
    <w:rsid w:val="00952FED"/>
    <w:rsid w:val="00A44369"/>
    <w:rsid w:val="00AF01F4"/>
    <w:rsid w:val="00B31128"/>
    <w:rsid w:val="00B76485"/>
    <w:rsid w:val="00BF225A"/>
    <w:rsid w:val="00C1648E"/>
    <w:rsid w:val="00C66428"/>
    <w:rsid w:val="00C72287"/>
    <w:rsid w:val="00D36DE2"/>
    <w:rsid w:val="00E734F4"/>
    <w:rsid w:val="00EF0DDA"/>
    <w:rsid w:val="00F01BA3"/>
    <w:rsid w:val="00F15B43"/>
    <w:rsid w:val="00F15EC9"/>
    <w:rsid w:val="00F36DA9"/>
    <w:rsid w:val="00F87026"/>
    <w:rsid w:val="00FC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5BD423-16D1-4A7B-AE6F-F4AF548D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7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A7FFA"/>
    <w:rPr>
      <w:color w:val="0000FF"/>
      <w:u w:val="single"/>
    </w:rPr>
  </w:style>
  <w:style w:type="table" w:styleId="a5">
    <w:name w:val="Table Grid"/>
    <w:basedOn w:val="a1"/>
    <w:rsid w:val="00045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3AF"/>
  </w:style>
  <w:style w:type="paragraph" w:styleId="a8">
    <w:name w:val="footer"/>
    <w:basedOn w:val="a"/>
    <w:link w:val="a9"/>
    <w:uiPriority w:val="99"/>
    <w:unhideWhenUsed/>
    <w:rsid w:val="0084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5A0A1-A118-4750-8E40-ED82D008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Карлыгаш Абишева Мухамедкаримовна</dc:creator>
  <cp:keywords/>
  <dc:description/>
  <cp:lastModifiedBy>Момышева Эльмира Кадиржановна</cp:lastModifiedBy>
  <cp:revision>59</cp:revision>
  <dcterms:created xsi:type="dcterms:W3CDTF">2025-08-18T14:19:00Z</dcterms:created>
  <dcterms:modified xsi:type="dcterms:W3CDTF">2025-10-09T12:18:00Z</dcterms:modified>
</cp:coreProperties>
</file>